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Report for Sean Schumacher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Differential analysis of PICRUSt2 results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February 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Methods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Functional abundances were predicted using Phylogenetic Investigation of Communities by Reconstruction of Unobserved States (PICRUSt2). Differential abundance (</w:t>
      </w:r>
      <w:r w:rsidDel="00000000" w:rsidR="00000000" w:rsidRPr="00000000">
        <w:rPr>
          <w:rFonts w:ascii="Merriweather" w:cs="Merriweather" w:eastAsia="Merriweather" w:hAnsi="Merriweather"/>
          <w:color w:val="2a2a2a"/>
          <w:sz w:val="23"/>
          <w:szCs w:val="23"/>
          <w:highlight w:val="white"/>
          <w:rtl w:val="0"/>
        </w:rPr>
        <w:t xml:space="preserve">DA)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analyses were conducted and visualized using the R package ggpicrust2 (Yang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2023) using DESeq2 (Love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2014). Significant level was set to adjusted p-value of 0.05.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Note: The analysis can be run with the following methods in addition to DESeq2: ALDEx2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Fernandes 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rtl w:val="0"/>
          </w:rPr>
          <w:t xml:space="preserve">et al.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 2013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), Maaslin2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Mallick 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rtl w:val="0"/>
          </w:rPr>
          <w:t xml:space="preserve">et al.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 2021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), LinDA (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Zhou 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rtl w:val="0"/>
          </w:rPr>
          <w:t xml:space="preserve">et al.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 2022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), edgeR 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Robinson 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rtl w:val="0"/>
          </w:rPr>
          <w:t xml:space="preserve">et al.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 2010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), limma voom (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Ritchie 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rtl w:val="0"/>
          </w:rPr>
          <w:t xml:space="preserve">et al.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 2015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), metagenomeSeq (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Paulson 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rtl w:val="0"/>
          </w:rPr>
          <w:t xml:space="preserve">et al.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 2013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), and lefser (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Segata </w:t>
        </w:r>
      </w:hyperlink>
      <w:hyperlink r:id="rId2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rtl w:val="0"/>
          </w:rPr>
          <w:t xml:space="preserve">et al.</w:t>
        </w:r>
      </w:hyperlink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 2011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 results are in the directory “Pathway_DE_analysis”. Labeling of each file consists of the test name, the company, the treatment, and the time comparison (Ex. “DESeq2_Jackson_EAE_D0_D21_”). For comparisons between companies, the labeling consists of the test name, the treatment, and the time in days (Ex. “DESeq2_Naive_D21_”).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Each comparison has the following files if there were significant pathways:</w:t>
      </w:r>
    </w:p>
    <w:tbl>
      <w:tblPr>
        <w:tblStyle w:val="Table1"/>
        <w:tblW w:w="9350.0" w:type="dxa"/>
        <w:jc w:val="left"/>
        <w:tblLayout w:type="fixed"/>
        <w:tblLook w:val="0400"/>
      </w:tblPr>
      <w:tblGrid>
        <w:gridCol w:w="3145"/>
        <w:gridCol w:w="6205"/>
        <w:tblGridChange w:id="0">
          <w:tblGrid>
            <w:gridCol w:w="3145"/>
            <w:gridCol w:w="620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File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**_Heatmap_plot.pdf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Heatmap using standard scores (Z-scores) for each DA test.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**_PCA_plot.pdf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PCA plot for samples for each comparison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**_Error_plot.pdf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Relative abundance difference between groups, log2 fold change, 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-values derived from the top 15 significant DA results for each comparison.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Note: this can be changed to include more or fewer or specific pathways.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**_Top60_Significant_Pathway.csv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Top 60 significant DA scores (based on an adjusted p-value of 0.05) for each comparison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References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Love, M.I., Huber, W., Anders, S. (2014) Moderated estimation of fold change and dispersion for RNA-seq data with DESeq2.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Genome Biology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 15:550. 10.1186/s13059-014-0550-8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Yang C, Mai J, Cao X, Burberry A, Cominelli F, Zhang L, Elofsson A. ggpicrust2: an R package for PICRUSt2 predicted functional profile analysis and visualization. Bioinformatics. 2023;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39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8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):39. doi:10.1093/bioinformatics/btad470.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ref-lnk" w:customStyle="1">
    <w:name w:val="ref-lnk"/>
    <w:basedOn w:val="DefaultParagraphFont"/>
    <w:rsid w:val="00D63E84"/>
  </w:style>
  <w:style w:type="character" w:styleId="Hyperlink">
    <w:name w:val="Hyperlink"/>
    <w:basedOn w:val="DefaultParagraphFont"/>
    <w:uiPriority w:val="99"/>
    <w:semiHidden w:val="1"/>
    <w:unhideWhenUsed w:val="1"/>
    <w:rsid w:val="00D63E84"/>
    <w:rPr>
      <w:color w:val="0000ff"/>
      <w:u w:val="single"/>
    </w:rPr>
  </w:style>
  <w:style w:type="character" w:styleId="off-screen" w:customStyle="1">
    <w:name w:val="off-screen"/>
    <w:basedOn w:val="DefaultParagraphFont"/>
    <w:rsid w:val="00D63E84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D63E84"/>
    <w:rPr>
      <w:color w:val="954f72" w:themeColor="followedHyperlink"/>
      <w:u w:val="single"/>
    </w:rPr>
  </w:style>
  <w:style w:type="character" w:styleId="citationsource-journal" w:customStyle="1">
    <w:name w:val="citation_source-journal"/>
    <w:basedOn w:val="DefaultParagraphFont"/>
    <w:rsid w:val="00D63E84"/>
  </w:style>
  <w:style w:type="character" w:styleId="Emphasis">
    <w:name w:val="Emphasis"/>
    <w:basedOn w:val="DefaultParagraphFont"/>
    <w:uiPriority w:val="20"/>
    <w:qFormat w:val="1"/>
    <w:rsid w:val="00D63E84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D63E8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8" Type="http://schemas.openxmlformats.org/officeDocument/2006/relationships/hyperlink" Target="https://doi.org/10.1093/bioinformatics/btad470" TargetMode="External"/><Relationship Id="rId27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oi.org/10.1093/bioinformatics/btad470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5+0HONlnBPtgNiZk7SQoMdbRLA==">CgMxLjA4AHIhMVZ0aGhBMWp5ajJXUl9XMXBHajdxWmJpS244T0FHWFZs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2024-02-27T21:40:00Z</dcterms:created>
  <dc:creator>Hendricks, Sarah (shendricks@uidaho.edu)</dc:creator>
</cp:coreProperties>
</file>